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3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60"/>
      </w:tblGrid>
      <w:tr w:rsidR="00B322D9" w:rsidRPr="00B322D9" w14:paraId="1A7773F6" w14:textId="77777777" w:rsidTr="00B322D9">
        <w:trPr>
          <w:tblCellSpacing w:w="15" w:type="dxa"/>
        </w:trPr>
        <w:tc>
          <w:tcPr>
            <w:tcW w:w="7500" w:type="dxa"/>
            <w:vAlign w:val="center"/>
            <w:hideMark/>
          </w:tcPr>
          <w:p w14:paraId="66B3CAC9" w14:textId="77777777" w:rsidR="00B322D9" w:rsidRPr="00B322D9" w:rsidRDefault="00B322D9" w:rsidP="00B322D9">
            <w:pPr>
              <w:spacing w:before="150" w:after="150"/>
              <w:rPr>
                <w:rFonts w:ascii="Times New Roman" w:eastAsia="Times New Roman" w:hAnsi="Times New Roman" w:cs="Times New Roman"/>
                <w:lang w:val="es-MX" w:eastAsia="es-MX"/>
              </w:rPr>
            </w:pPr>
            <w:r w:rsidRPr="00B322D9">
              <w:rPr>
                <w:rFonts w:ascii="Times New Roman" w:eastAsia="Times New Roman" w:hAnsi="Times New Roman" w:cs="Times New Roman"/>
                <w:b/>
                <w:bCs/>
                <w:lang w:val="es-MX" w:eastAsia="es-MX"/>
              </w:rPr>
              <w:t>Felipe Bernardo Quintanar González y otros</w:t>
            </w:r>
            <w:r w:rsidRPr="00B322D9">
              <w:rPr>
                <w:rFonts w:ascii="Times New Roman" w:eastAsia="Times New Roman" w:hAnsi="Times New Roman" w:cs="Times New Roman"/>
                <w:lang w:val="es-MX" w:eastAsia="es-MX"/>
              </w:rPr>
              <w:br/>
            </w:r>
            <w:r w:rsidRPr="00B322D9">
              <w:rPr>
                <w:rFonts w:ascii="Times New Roman" w:eastAsia="Times New Roman" w:hAnsi="Times New Roman" w:cs="Times New Roman"/>
                <w:lang w:val="es-MX" w:eastAsia="es-MX"/>
              </w:rPr>
              <w:br/>
            </w:r>
            <w:r w:rsidRPr="00B322D9">
              <w:rPr>
                <w:rFonts w:ascii="Times New Roman" w:eastAsia="Times New Roman" w:hAnsi="Times New Roman" w:cs="Times New Roman"/>
                <w:b/>
                <w:bCs/>
                <w:lang w:val="es-MX" w:eastAsia="es-MX"/>
              </w:rPr>
              <w:t>vs.</w:t>
            </w:r>
            <w:r w:rsidRPr="00B322D9">
              <w:rPr>
                <w:rFonts w:ascii="Times New Roman" w:eastAsia="Times New Roman" w:hAnsi="Times New Roman" w:cs="Times New Roman"/>
                <w:lang w:val="es-MX" w:eastAsia="es-MX"/>
              </w:rPr>
              <w:br/>
            </w:r>
            <w:r w:rsidRPr="00B322D9">
              <w:rPr>
                <w:rFonts w:ascii="Times New Roman" w:eastAsia="Times New Roman" w:hAnsi="Times New Roman" w:cs="Times New Roman"/>
                <w:lang w:val="es-MX" w:eastAsia="es-MX"/>
              </w:rPr>
              <w:br/>
            </w:r>
            <w:r w:rsidRPr="00B322D9">
              <w:rPr>
                <w:rFonts w:ascii="Times New Roman" w:eastAsia="Times New Roman" w:hAnsi="Times New Roman" w:cs="Times New Roman"/>
                <w:b/>
                <w:bCs/>
                <w:lang w:val="es-MX" w:eastAsia="es-MX"/>
              </w:rPr>
              <w:t>Consejo General del Instituto Federal Electoral</w:t>
            </w:r>
            <w:r w:rsidRPr="00B322D9">
              <w:rPr>
                <w:rFonts w:ascii="Times New Roman" w:eastAsia="Times New Roman" w:hAnsi="Times New Roman" w:cs="Times New Roman"/>
                <w:lang w:val="es-MX" w:eastAsia="es-MX"/>
              </w:rPr>
              <w:br/>
            </w:r>
            <w:r w:rsidRPr="00B322D9">
              <w:rPr>
                <w:rFonts w:ascii="Times New Roman" w:eastAsia="Times New Roman" w:hAnsi="Times New Roman" w:cs="Times New Roman"/>
                <w:lang w:val="es-MX" w:eastAsia="es-MX"/>
              </w:rPr>
              <w:br/>
            </w:r>
            <w:r w:rsidRPr="00B322D9">
              <w:rPr>
                <w:rFonts w:ascii="Times New Roman" w:eastAsia="Times New Roman" w:hAnsi="Times New Roman" w:cs="Times New Roman"/>
                <w:b/>
                <w:bCs/>
                <w:lang w:val="es-MX" w:eastAsia="es-MX"/>
              </w:rPr>
              <w:t>Jurisprudencia 11/2015</w:t>
            </w:r>
            <w:r w:rsidRPr="00B322D9">
              <w:rPr>
                <w:rFonts w:ascii="Times New Roman" w:eastAsia="Times New Roman" w:hAnsi="Times New Roman" w:cs="Times New Roman"/>
                <w:lang w:val="es-MX" w:eastAsia="es-MX"/>
              </w:rPr>
              <w:br/>
            </w:r>
          </w:p>
        </w:tc>
      </w:tr>
    </w:tbl>
    <w:p w14:paraId="73A87044" w14:textId="77777777" w:rsidR="00B322D9" w:rsidRPr="00B322D9" w:rsidRDefault="00B322D9" w:rsidP="00B322D9">
      <w:pPr>
        <w:jc w:val="both"/>
        <w:rPr>
          <w:rFonts w:ascii="Arial" w:eastAsia="Times New Roman" w:hAnsi="Arial" w:cs="Arial"/>
          <w:color w:val="000000"/>
          <w:lang w:val="es-MX" w:eastAsia="es-MX"/>
        </w:rPr>
      </w:pPr>
      <w:r w:rsidRPr="00B322D9">
        <w:rPr>
          <w:rFonts w:ascii="Arial" w:eastAsia="Times New Roman" w:hAnsi="Arial" w:cs="Arial"/>
          <w:b/>
          <w:bCs/>
          <w:color w:val="990000"/>
          <w:lang w:val="es-MX" w:eastAsia="es-MX"/>
        </w:rPr>
        <w:t>ACCIONES</w:t>
      </w:r>
      <w:r w:rsidRPr="00B322D9">
        <w:rPr>
          <w:rFonts w:ascii="Arial" w:eastAsia="Times New Roman" w:hAnsi="Arial" w:cs="Arial"/>
          <w:b/>
          <w:bCs/>
          <w:color w:val="000000"/>
          <w:lang w:val="es-MX" w:eastAsia="es-MX"/>
        </w:rPr>
        <w:t> </w:t>
      </w:r>
      <w:r w:rsidRPr="00B322D9">
        <w:rPr>
          <w:rFonts w:ascii="Arial" w:eastAsia="Times New Roman" w:hAnsi="Arial" w:cs="Arial"/>
          <w:b/>
          <w:bCs/>
          <w:color w:val="990000"/>
          <w:lang w:val="es-MX" w:eastAsia="es-MX"/>
        </w:rPr>
        <w:t>AFIRMATIVAS</w:t>
      </w:r>
      <w:r w:rsidRPr="00B322D9">
        <w:rPr>
          <w:rFonts w:ascii="Arial" w:eastAsia="Times New Roman" w:hAnsi="Arial" w:cs="Arial"/>
          <w:b/>
          <w:bCs/>
          <w:color w:val="000000"/>
          <w:lang w:val="es-MX" w:eastAsia="es-MX"/>
        </w:rPr>
        <w:t>. ELEMENTOS FUNDAMENTALES.- </w:t>
      </w:r>
      <w:r w:rsidRPr="00B322D9">
        <w:rPr>
          <w:rFonts w:ascii="Arial" w:eastAsia="Times New Roman" w:hAnsi="Arial" w:cs="Arial"/>
          <w:color w:val="000000"/>
          <w:lang w:val="es-MX" w:eastAsia="es-MX"/>
        </w:rPr>
        <w:t>De la interpretación sistemática y funcional de lo establecido en los artículos 1°, párrafo quinto; 4°, párrafo primero, de la Constitución Política de los Estados Unidos Mexicanos; </w:t>
      </w:r>
      <w:hyperlink r:id="rId4" w:history="1">
        <w:r w:rsidRPr="00B322D9">
          <w:rPr>
            <w:rFonts w:ascii="Arial" w:eastAsia="Times New Roman" w:hAnsi="Arial" w:cs="Arial"/>
            <w:color w:val="006633"/>
            <w:u w:val="single"/>
            <w:lang w:val="es-MX" w:eastAsia="es-MX"/>
          </w:rPr>
          <w:t>1, párrafo 1 y 24, de la Convención Americana sobre Derechos Humanos</w:t>
        </w:r>
      </w:hyperlink>
      <w:r w:rsidRPr="00B322D9">
        <w:rPr>
          <w:rFonts w:ascii="Arial" w:eastAsia="Times New Roman" w:hAnsi="Arial" w:cs="Arial"/>
          <w:color w:val="000000"/>
          <w:lang w:val="es-MX" w:eastAsia="es-MX"/>
        </w:rPr>
        <w:t>; </w:t>
      </w:r>
      <w:hyperlink r:id="rId5" w:history="1">
        <w:r w:rsidRPr="00B322D9">
          <w:rPr>
            <w:rFonts w:ascii="Arial" w:eastAsia="Times New Roman" w:hAnsi="Arial" w:cs="Arial"/>
            <w:color w:val="006633"/>
            <w:u w:val="single"/>
            <w:lang w:val="es-MX" w:eastAsia="es-MX"/>
          </w:rPr>
          <w:t>1 y 4, párrafo 1, de la Convención sobre la Eliminación de todas las Formas de Discriminación Contra la Mujer</w:t>
        </w:r>
      </w:hyperlink>
      <w:r w:rsidRPr="00B322D9">
        <w:rPr>
          <w:rFonts w:ascii="Arial" w:eastAsia="Times New Roman" w:hAnsi="Arial" w:cs="Arial"/>
          <w:color w:val="000000"/>
          <w:lang w:val="es-MX" w:eastAsia="es-MX"/>
        </w:rPr>
        <w:t>; 1, 2, 4 y 5, fracción I, de la Ley Federal para Prevenir y Eliminar la Discriminación; 1, 2, 3, párrafo primero; y 5, fracción I, de la Ley General para la Igualdad entre Mujeres y Hombres; así como de los criterios de la Corte Interamericana de Derechos Humanos y del Comité para la Eliminación de la Discriminación contra la Mujer; se colige la obligación del Estado mexicano de establecer </w:t>
      </w:r>
      <w:r w:rsidRPr="00B322D9">
        <w:rPr>
          <w:rFonts w:ascii="Arial" w:eastAsia="Times New Roman" w:hAnsi="Arial" w:cs="Arial"/>
          <w:b/>
          <w:bCs/>
          <w:color w:val="990000"/>
          <w:lang w:val="es-MX" w:eastAsia="es-MX"/>
        </w:rPr>
        <w:t>acciones</w:t>
      </w:r>
      <w:r w:rsidRPr="00B322D9">
        <w:rPr>
          <w:rFonts w:ascii="Arial" w:eastAsia="Times New Roman" w:hAnsi="Arial" w:cs="Arial"/>
          <w:color w:val="000000"/>
          <w:lang w:val="es-MX" w:eastAsia="es-MX"/>
        </w:rPr>
        <w:t> </w:t>
      </w:r>
      <w:r w:rsidRPr="00B322D9">
        <w:rPr>
          <w:rFonts w:ascii="Arial" w:eastAsia="Times New Roman" w:hAnsi="Arial" w:cs="Arial"/>
          <w:b/>
          <w:bCs/>
          <w:color w:val="990000"/>
          <w:lang w:val="es-MX" w:eastAsia="es-MX"/>
        </w:rPr>
        <w:t>afirmativas</w:t>
      </w:r>
      <w:r w:rsidRPr="00B322D9">
        <w:rPr>
          <w:rFonts w:ascii="Arial" w:eastAsia="Times New Roman" w:hAnsi="Arial" w:cs="Arial"/>
          <w:color w:val="000000"/>
          <w:lang w:val="es-MX" w:eastAsia="es-MX"/>
        </w:rPr>
        <w:t> en tanto constituyen medidas temporales, razonables, proporcionales y objetivas orientadas a la igualdad material. En consecuencia, los elementos fundamentales de las </w:t>
      </w:r>
      <w:r w:rsidRPr="00B322D9">
        <w:rPr>
          <w:rFonts w:ascii="Arial" w:eastAsia="Times New Roman" w:hAnsi="Arial" w:cs="Arial"/>
          <w:b/>
          <w:bCs/>
          <w:color w:val="990000"/>
          <w:lang w:val="es-MX" w:eastAsia="es-MX"/>
        </w:rPr>
        <w:t>acciones</w:t>
      </w:r>
      <w:r w:rsidRPr="00B322D9">
        <w:rPr>
          <w:rFonts w:ascii="Arial" w:eastAsia="Times New Roman" w:hAnsi="Arial" w:cs="Arial"/>
          <w:color w:val="000000"/>
          <w:lang w:val="es-MX" w:eastAsia="es-MX"/>
        </w:rPr>
        <w:t> </w:t>
      </w:r>
      <w:r w:rsidRPr="00B322D9">
        <w:rPr>
          <w:rFonts w:ascii="Arial" w:eastAsia="Times New Roman" w:hAnsi="Arial" w:cs="Arial"/>
          <w:b/>
          <w:bCs/>
          <w:color w:val="990000"/>
          <w:lang w:val="es-MX" w:eastAsia="es-MX"/>
        </w:rPr>
        <w:t>afirmativas</w:t>
      </w:r>
      <w:r w:rsidRPr="00B322D9">
        <w:rPr>
          <w:rFonts w:ascii="Arial" w:eastAsia="Times New Roman" w:hAnsi="Arial" w:cs="Arial"/>
          <w:color w:val="000000"/>
          <w:lang w:val="es-MX" w:eastAsia="es-MX"/>
        </w:rPr>
        <w:t>, son: a) Objeto y fin. Hacer realidad la igualdad material y, por tanto, compensar o remediar una situación de injusticia, desventaja o discriminación; alcanzar una representación o un nivel de participación equilibrada, así como establecer las condiciones mínimas para que las personas puedan partir de un mismo punto de arranque y desplegar sus atributos y capacidades. b) Destinatarias. Personas y grupos en situación de vulnerabilidad, desventaja y/o discriminación para gozar y ejercer efectivamente sus derechos, y c) Conducta exigible. Abarca una amplia gama de instrumentos, políticas y prácticas de índole legislativa, ejecutiva, administrativa y reglamentaria. La elección de una acción dependerá del contexto en que se aplique y del objetivo a lograr. La figura más conocida de las </w:t>
      </w:r>
      <w:r w:rsidRPr="00B322D9">
        <w:rPr>
          <w:rFonts w:ascii="Arial" w:eastAsia="Times New Roman" w:hAnsi="Arial" w:cs="Arial"/>
          <w:b/>
          <w:bCs/>
          <w:color w:val="990000"/>
          <w:lang w:val="es-MX" w:eastAsia="es-MX"/>
        </w:rPr>
        <w:t>acciones</w:t>
      </w:r>
      <w:r w:rsidRPr="00B322D9">
        <w:rPr>
          <w:rFonts w:ascii="Arial" w:eastAsia="Times New Roman" w:hAnsi="Arial" w:cs="Arial"/>
          <w:color w:val="000000"/>
          <w:lang w:val="es-MX" w:eastAsia="es-MX"/>
        </w:rPr>
        <w:t> </w:t>
      </w:r>
      <w:r w:rsidRPr="00B322D9">
        <w:rPr>
          <w:rFonts w:ascii="Arial" w:eastAsia="Times New Roman" w:hAnsi="Arial" w:cs="Arial"/>
          <w:b/>
          <w:bCs/>
          <w:color w:val="990000"/>
          <w:lang w:val="es-MX" w:eastAsia="es-MX"/>
        </w:rPr>
        <w:t>afirmativas</w:t>
      </w:r>
      <w:r w:rsidRPr="00B322D9">
        <w:rPr>
          <w:rFonts w:ascii="Arial" w:eastAsia="Times New Roman" w:hAnsi="Arial" w:cs="Arial"/>
          <w:color w:val="000000"/>
          <w:lang w:val="es-MX" w:eastAsia="es-MX"/>
        </w:rPr>
        <w:t> son las políticas de cuotas o cupos.</w:t>
      </w:r>
    </w:p>
    <w:p w14:paraId="1FE7E0FC" w14:textId="77777777" w:rsidR="00B322D9" w:rsidRPr="00B322D9" w:rsidRDefault="00B322D9" w:rsidP="00B322D9">
      <w:pPr>
        <w:jc w:val="both"/>
        <w:rPr>
          <w:rFonts w:ascii="Arial" w:eastAsia="Times New Roman" w:hAnsi="Arial" w:cs="Arial"/>
          <w:color w:val="000000"/>
          <w:lang w:val="es-MX" w:eastAsia="es-MX"/>
        </w:rPr>
      </w:pPr>
      <w:r w:rsidRPr="00B322D9">
        <w:rPr>
          <w:rFonts w:ascii="Arial" w:eastAsia="Times New Roman" w:hAnsi="Arial" w:cs="Arial"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b/>
          <w:bCs/>
          <w:color w:val="000000"/>
          <w:lang w:val="es-MX" w:eastAsia="es-MX"/>
        </w:rPr>
        <w:t>Quinta Época: </w:t>
      </w:r>
    </w:p>
    <w:p w14:paraId="1DAED5D4" w14:textId="77777777" w:rsidR="00B322D9" w:rsidRPr="00B322D9" w:rsidRDefault="00B322D9" w:rsidP="00B322D9">
      <w:pPr>
        <w:jc w:val="both"/>
        <w:rPr>
          <w:rFonts w:ascii="Arial" w:eastAsia="Times New Roman" w:hAnsi="Arial" w:cs="Arial"/>
          <w:color w:val="000000"/>
          <w:lang w:val="es-MX" w:eastAsia="es-MX"/>
        </w:rPr>
      </w:pP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  <w:t>Juicio para la protección de los derechos político-electorales del ciudadano. </w:t>
      </w:r>
      <w:hyperlink r:id="rId6" w:tgtFrame="_blank" w:history="1">
        <w:r w:rsidRPr="00B322D9">
          <w:rPr>
            <w:rFonts w:ascii="Arial" w:eastAsia="Times New Roman" w:hAnsi="Arial" w:cs="Arial"/>
            <w:i/>
            <w:iCs/>
            <w:color w:val="006633"/>
            <w:u w:val="single"/>
            <w:lang w:val="es-MX" w:eastAsia="es-MX"/>
          </w:rPr>
          <w:t>SUP-JDC-1080/2013</w:t>
        </w:r>
      </w:hyperlink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t> y acumulados.—Actores: Felipe Bernardo Quintanar González y otros.—Autoridad responsable: Consejo General del Instituto Federal Electoral.—21 de octubre de 2013.—Mayoría de seis votos.—Engrose: María del Carmen Alanis Figueroa.—Disidente: Flavio Galván Rivera.—Secretarios: José Alfredo García Solís y Enrique Figueroa Ávila. </w:t>
      </w: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</w:r>
      <w:hyperlink r:id="rId7" w:history="1">
        <w:r w:rsidRPr="00B322D9">
          <w:rPr>
            <w:rFonts w:ascii="Arial" w:eastAsia="Times New Roman" w:hAnsi="Arial" w:cs="Arial"/>
            <w:i/>
            <w:iCs/>
            <w:color w:val="0000FF"/>
            <w:u w:val="single"/>
            <w:lang w:val="es-MX" w:eastAsia="es-MX"/>
          </w:rPr>
          <w:t>Ver casos relacionados</w:t>
        </w:r>
      </w:hyperlink>
    </w:p>
    <w:p w14:paraId="574DD4EB" w14:textId="77777777" w:rsidR="00B322D9" w:rsidRPr="00B322D9" w:rsidRDefault="00B322D9" w:rsidP="00B322D9">
      <w:pPr>
        <w:jc w:val="both"/>
        <w:rPr>
          <w:rFonts w:ascii="Arial" w:eastAsia="Times New Roman" w:hAnsi="Arial" w:cs="Arial"/>
          <w:color w:val="000000"/>
          <w:lang w:val="es-MX" w:eastAsia="es-MX"/>
        </w:rPr>
      </w:pP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lastRenderedPageBreak/>
        <w:br/>
      </w: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  <w:t>Recurso de reconsideración. </w:t>
      </w:r>
      <w:hyperlink r:id="rId8" w:tgtFrame="_blank" w:history="1">
        <w:r w:rsidRPr="00B322D9">
          <w:rPr>
            <w:rFonts w:ascii="Arial" w:eastAsia="Times New Roman" w:hAnsi="Arial" w:cs="Arial"/>
            <w:i/>
            <w:iCs/>
            <w:color w:val="006633"/>
            <w:u w:val="single"/>
            <w:lang w:val="es-MX" w:eastAsia="es-MX"/>
          </w:rPr>
          <w:t>SUP-REC-112/2013</w:t>
        </w:r>
      </w:hyperlink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t>.—Recurrente: Perfecto Rubio Heredia.—Autoridad responsable: Sala Regional del Tribunal Electoral del Poder Judicial de la Federación, correspondiente a la Tercera Circunscripción Plurinominal, con sede en Xalapa, Veracruz.—6 de noviembre de 2013.—Mayoría de tres votos.—Engrose: María del Carmen Alanis Figueroa.—Disidente: Flavio Galván Rivera.—Secretarios: Enrique Figueroa Ávila y Andrés Carlos Vázquez Murillo. </w:t>
      </w: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</w:r>
      <w:hyperlink r:id="rId9" w:history="1">
        <w:r w:rsidRPr="00B322D9">
          <w:rPr>
            <w:rFonts w:ascii="Arial" w:eastAsia="Times New Roman" w:hAnsi="Arial" w:cs="Arial"/>
            <w:i/>
            <w:iCs/>
            <w:color w:val="0000FF"/>
            <w:u w:val="single"/>
            <w:lang w:val="es-MX" w:eastAsia="es-MX"/>
          </w:rPr>
          <w:t>Ver casos relacionados</w:t>
        </w:r>
      </w:hyperlink>
    </w:p>
    <w:p w14:paraId="5FEE3055" w14:textId="77777777" w:rsidR="00B322D9" w:rsidRPr="00B322D9" w:rsidRDefault="00B322D9" w:rsidP="00B322D9">
      <w:pPr>
        <w:jc w:val="both"/>
        <w:rPr>
          <w:rFonts w:ascii="Arial" w:eastAsia="Times New Roman" w:hAnsi="Arial" w:cs="Arial"/>
          <w:color w:val="000000"/>
          <w:lang w:val="es-MX" w:eastAsia="es-MX"/>
        </w:rPr>
      </w:pP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  <w:t>Juicio para la protección de los derechos político-electorales del ciudadano. </w:t>
      </w:r>
      <w:hyperlink r:id="rId10" w:tgtFrame="_blank" w:history="1">
        <w:r w:rsidRPr="00B322D9">
          <w:rPr>
            <w:rFonts w:ascii="Arial" w:eastAsia="Times New Roman" w:hAnsi="Arial" w:cs="Arial"/>
            <w:i/>
            <w:iCs/>
            <w:color w:val="006633"/>
            <w:u w:val="single"/>
            <w:lang w:val="es-MX" w:eastAsia="es-MX"/>
          </w:rPr>
          <w:t>SUP-JDC-380/2014</w:t>
        </w:r>
      </w:hyperlink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t>.—Actor: José Francisco Hernández Gordillo.—Órganos responsables: Presidenta del Comité Ejecutivo Nacional del Partido Acción Nacional y otro.—14 de mayo de 2014.—Unanimidad de votos.—Ponente: María del Carmen Alanis Figueroa.—Secretarios: Juan Antonio Garza García y Carlos Vargas Baca. </w:t>
      </w: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i/>
          <w:iCs/>
          <w:color w:val="000000"/>
          <w:lang w:val="es-MX" w:eastAsia="es-MX"/>
        </w:rPr>
        <w:br/>
      </w:r>
      <w:hyperlink r:id="rId11" w:history="1">
        <w:r w:rsidRPr="00B322D9">
          <w:rPr>
            <w:rFonts w:ascii="Arial" w:eastAsia="Times New Roman" w:hAnsi="Arial" w:cs="Arial"/>
            <w:i/>
            <w:iCs/>
            <w:color w:val="0000FF"/>
            <w:u w:val="single"/>
            <w:lang w:val="es-MX" w:eastAsia="es-MX"/>
          </w:rPr>
          <w:t>Ver casos relacionados</w:t>
        </w:r>
      </w:hyperlink>
    </w:p>
    <w:p w14:paraId="4FC11B79" w14:textId="77777777" w:rsidR="00B322D9" w:rsidRPr="00B322D9" w:rsidRDefault="00B322D9" w:rsidP="00B322D9">
      <w:pPr>
        <w:jc w:val="both"/>
        <w:rPr>
          <w:rFonts w:ascii="Arial" w:eastAsia="Times New Roman" w:hAnsi="Arial" w:cs="Arial"/>
          <w:color w:val="000000"/>
          <w:lang w:val="es-MX" w:eastAsia="es-MX"/>
        </w:rPr>
      </w:pPr>
      <w:r w:rsidRPr="00B322D9">
        <w:rPr>
          <w:rFonts w:ascii="Arial" w:eastAsia="Times New Roman" w:hAnsi="Arial" w:cs="Arial"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b/>
          <w:bCs/>
          <w:color w:val="000000"/>
          <w:lang w:val="es-MX" w:eastAsia="es-MX"/>
        </w:rPr>
        <w:t>La Sala Superior en sesión pública celebrada el treinta de mayo de dos mil quince, aprobó por unanimidad de votos la jurisprudencia que antecede y la declaró formalmente obligatoria.</w:t>
      </w:r>
      <w:r w:rsidRPr="00B322D9">
        <w:rPr>
          <w:rFonts w:ascii="Arial" w:eastAsia="Times New Roman" w:hAnsi="Arial" w:cs="Arial"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color w:val="000000"/>
          <w:lang w:val="es-MX" w:eastAsia="es-MX"/>
        </w:rPr>
        <w:br/>
      </w:r>
      <w:r w:rsidRPr="00B322D9">
        <w:rPr>
          <w:rFonts w:ascii="Arial" w:eastAsia="Times New Roman" w:hAnsi="Arial" w:cs="Arial"/>
          <w:b/>
          <w:bCs/>
          <w:color w:val="000000"/>
          <w:lang w:val="es-MX" w:eastAsia="es-MX"/>
        </w:rPr>
        <w:t>Gaceta de Jurisprudencia y Tesis en materia electoral, Tribunal Electoral del Poder Judicial de la Federación, Año 8, Número 16, 2015, páginas 13, 14 y 15.</w:t>
      </w:r>
      <w:r w:rsidRPr="00B322D9">
        <w:rPr>
          <w:rFonts w:ascii="Arial" w:eastAsia="Times New Roman" w:hAnsi="Arial" w:cs="Arial"/>
          <w:color w:val="000000"/>
          <w:lang w:val="es-MX" w:eastAsia="es-MX"/>
        </w:rPr>
        <w:br/>
      </w:r>
    </w:p>
    <w:p w14:paraId="3E47CEB1" w14:textId="77777777" w:rsidR="00B322D9" w:rsidRPr="00B322D9" w:rsidRDefault="00B322D9" w:rsidP="00B322D9">
      <w:pPr>
        <w:rPr>
          <w:rFonts w:ascii="Times New Roman" w:eastAsia="Times New Roman" w:hAnsi="Times New Roman" w:cs="Times New Roman"/>
          <w:lang w:val="es-MX" w:eastAsia="es-MX"/>
        </w:rPr>
      </w:pPr>
    </w:p>
    <w:p w14:paraId="398CA951" w14:textId="77777777" w:rsidR="009775D7" w:rsidRPr="00B322D9" w:rsidRDefault="00B322D9">
      <w:pPr>
        <w:rPr>
          <w:lang w:val="es-MX"/>
        </w:rPr>
      </w:pPr>
    </w:p>
    <w:sectPr w:rsidR="009775D7" w:rsidRPr="00B322D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D9"/>
    <w:rsid w:val="001F5503"/>
    <w:rsid w:val="001F64E4"/>
    <w:rsid w:val="00B322D9"/>
    <w:rsid w:val="00CA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13FAB2"/>
  <w15:chartTrackingRefBased/>
  <w15:docId w15:val="{3AD2F0CD-BFEB-BA49-A99E-FBCCBF7EA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B322D9"/>
    <w:rPr>
      <w:b/>
      <w:bCs/>
    </w:rPr>
  </w:style>
  <w:style w:type="character" w:customStyle="1" w:styleId="apple-converted-space">
    <w:name w:val="apple-converted-space"/>
    <w:basedOn w:val="Fuentedeprrafopredeter"/>
    <w:rsid w:val="00B322D9"/>
  </w:style>
  <w:style w:type="character" w:styleId="Hipervnculo">
    <w:name w:val="Hyperlink"/>
    <w:basedOn w:val="Fuentedeprrafopredeter"/>
    <w:uiPriority w:val="99"/>
    <w:semiHidden/>
    <w:unhideWhenUsed/>
    <w:rsid w:val="00B32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96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te.gob.mx/colecciones/sentencias/html/SUP/2013/REC/SUP-REC-00112-2013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te.gob.mx/IUSEapp/tesisjur.aspx?idtesis=11/2015&amp;tpoBusqueda=S&amp;sWord=acciones,afirmativa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rtal.te.gob.mx/colecciones/sentencias/html/SUP/2013/JDC/SUP-JDC-01080-2013.htm" TargetMode="External"/><Relationship Id="rId11" Type="http://schemas.openxmlformats.org/officeDocument/2006/relationships/hyperlink" Target="https://www.te.gob.mx/IUSEapp/tesisjur.aspx?idtesis=11/2015&amp;tpoBusqueda=S&amp;sWord=acciones,afirmativas" TargetMode="External"/><Relationship Id="rId5" Type="http://schemas.openxmlformats.org/officeDocument/2006/relationships/hyperlink" Target="https://www.te.gob.mx/IUSEapp/tesisjur.aspx?idtesis=11/2015&amp;tpoBusqueda=S&amp;sWord=acciones,afirmativas" TargetMode="External"/><Relationship Id="rId10" Type="http://schemas.openxmlformats.org/officeDocument/2006/relationships/hyperlink" Target="http://portal.te.gob.mx/colecciones/sentencias/html/SUP/2014/JDC/SUP-JDC-00380-2014.htm" TargetMode="External"/><Relationship Id="rId4" Type="http://schemas.openxmlformats.org/officeDocument/2006/relationships/hyperlink" Target="https://www.te.gob.mx/IUSEapp/tesisjur.aspx?idtesis=11/2015&amp;tpoBusqueda=S&amp;sWord=acciones,afirmativas" TargetMode="External"/><Relationship Id="rId9" Type="http://schemas.openxmlformats.org/officeDocument/2006/relationships/hyperlink" Target="https://www.te.gob.mx/IUSEapp/tesisjur.aspx?idtesis=11/2015&amp;tpoBusqueda=S&amp;sWord=acciones,afirmativa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711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Carmelita Sibaja</dc:creator>
  <cp:keywords/>
  <dc:description/>
  <cp:lastModifiedBy>Carmelita Sibaja</cp:lastModifiedBy>
  <cp:revision>1</cp:revision>
  <dcterms:created xsi:type="dcterms:W3CDTF">2021-06-27T18:15:00Z</dcterms:created>
  <dcterms:modified xsi:type="dcterms:W3CDTF">2021-06-27T18:16:00Z</dcterms:modified>
</cp:coreProperties>
</file>